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7CACF" w14:textId="77777777" w:rsidR="004906D4" w:rsidRPr="00874F10" w:rsidRDefault="004906D4" w:rsidP="00CC44E7">
      <w:pPr>
        <w:jc w:val="both"/>
        <w:rPr>
          <w:rFonts w:ascii="Verdana" w:hAnsi="Verdana" w:cs="Calibri"/>
          <w:b/>
          <w:sz w:val="22"/>
          <w:szCs w:val="22"/>
          <w:lang w:val="sv-SE"/>
        </w:rPr>
      </w:pPr>
    </w:p>
    <w:p w14:paraId="788C3067" w14:textId="6997A0DB" w:rsidR="00A131D3" w:rsidRPr="00874F10" w:rsidRDefault="00F14B29" w:rsidP="00A131D3">
      <w:pPr>
        <w:jc w:val="both"/>
        <w:rPr>
          <w:rFonts w:ascii="Verdana" w:hAnsi="Verdana" w:cs="Calibri"/>
          <w:b/>
          <w:sz w:val="22"/>
          <w:szCs w:val="22"/>
          <w:lang w:val="sv-SE"/>
        </w:rPr>
      </w:pPr>
      <w:r w:rsidRPr="00F14B29">
        <w:rPr>
          <w:rFonts w:ascii="Verdana" w:hAnsi="Verdana" w:cs="Calibri"/>
          <w:b/>
          <w:sz w:val="22"/>
          <w:szCs w:val="22"/>
          <w:lang w:val="sv-SE"/>
        </w:rPr>
        <w:t xml:space="preserve">RIKTLINJER FÖR ERSÄTTNING OCH ANDRA ANSTÄLLNINGSVILLKOR FÖR LEDANDE BEFATTNINGSHAVARE 2020 </w:t>
      </w:r>
    </w:p>
    <w:p w14:paraId="3529CB04" w14:textId="77777777" w:rsidR="00874F10" w:rsidRPr="00874F10" w:rsidRDefault="00874F10" w:rsidP="00A131D3">
      <w:pPr>
        <w:jc w:val="both"/>
        <w:rPr>
          <w:rFonts w:ascii="Verdana" w:hAnsi="Verdana" w:cs="Calibri"/>
          <w:b/>
          <w:sz w:val="22"/>
          <w:szCs w:val="22"/>
          <w:lang w:val="sv-SE"/>
        </w:rPr>
      </w:pPr>
    </w:p>
    <w:p w14:paraId="1E52545F" w14:textId="4CC739A9" w:rsidR="005B3DD6" w:rsidRDefault="005B3DD6" w:rsidP="005B3DD6">
      <w:pPr>
        <w:jc w:val="both"/>
        <w:rPr>
          <w:sz w:val="22"/>
          <w:szCs w:val="22"/>
          <w:lang w:val="sv-SE"/>
        </w:rPr>
      </w:pPr>
      <w:r w:rsidRPr="005B3DD6">
        <w:rPr>
          <w:sz w:val="22"/>
          <w:szCs w:val="22"/>
          <w:lang w:val="sv-SE"/>
        </w:rPr>
        <w:t>Enligt aktiebolagslagen ska bolagsstämman besluta om riktlinjer för ersättning till VD och andra ledande befattningshavare. Vid årsstämman den 27 maj 20</w:t>
      </w:r>
      <w:r w:rsidR="008E5749">
        <w:rPr>
          <w:sz w:val="22"/>
          <w:szCs w:val="22"/>
          <w:lang w:val="sv-SE"/>
        </w:rPr>
        <w:t>20</w:t>
      </w:r>
      <w:r w:rsidRPr="005B3DD6">
        <w:rPr>
          <w:sz w:val="22"/>
          <w:szCs w:val="22"/>
          <w:lang w:val="sv-SE"/>
        </w:rPr>
        <w:t xml:space="preserve"> fastställdes </w:t>
      </w:r>
      <w:r w:rsidR="008E5749">
        <w:rPr>
          <w:sz w:val="22"/>
          <w:szCs w:val="22"/>
          <w:lang w:val="sv-SE"/>
        </w:rPr>
        <w:t xml:space="preserve">följande </w:t>
      </w:r>
      <w:r w:rsidRPr="005B3DD6">
        <w:rPr>
          <w:sz w:val="22"/>
          <w:szCs w:val="22"/>
          <w:lang w:val="sv-SE"/>
        </w:rPr>
        <w:t>riktlinjer.</w:t>
      </w:r>
    </w:p>
    <w:p w14:paraId="0D3409EB" w14:textId="19F670CE" w:rsidR="005B3DD6" w:rsidRPr="005B3DD6" w:rsidRDefault="005B3DD6" w:rsidP="005B3DD6">
      <w:pPr>
        <w:jc w:val="both"/>
        <w:rPr>
          <w:sz w:val="22"/>
          <w:szCs w:val="22"/>
          <w:lang w:val="sv-SE"/>
        </w:rPr>
      </w:pPr>
      <w:r w:rsidRPr="005B3DD6">
        <w:rPr>
          <w:sz w:val="22"/>
          <w:szCs w:val="22"/>
          <w:lang w:val="sv-SE"/>
        </w:rPr>
        <w:t xml:space="preserve"> </w:t>
      </w:r>
    </w:p>
    <w:p w14:paraId="1F5E2C00" w14:textId="315DCE27" w:rsidR="00874F10" w:rsidRDefault="00A131D3" w:rsidP="005B3DD6">
      <w:pPr>
        <w:jc w:val="both"/>
        <w:rPr>
          <w:sz w:val="22"/>
          <w:szCs w:val="22"/>
          <w:lang w:val="sv-SE"/>
        </w:rPr>
      </w:pPr>
      <w:r w:rsidRPr="00874F10">
        <w:rPr>
          <w:sz w:val="22"/>
          <w:szCs w:val="22"/>
          <w:lang w:val="sv-SE"/>
        </w:rPr>
        <w:t>Riktlinjerna</w:t>
      </w:r>
      <w:r w:rsidR="00874F10">
        <w:rPr>
          <w:sz w:val="22"/>
          <w:szCs w:val="22"/>
          <w:lang w:val="sv-SE"/>
        </w:rPr>
        <w:t xml:space="preserve"> är framåtblickande och</w:t>
      </w:r>
      <w:r w:rsidRPr="00874F10">
        <w:rPr>
          <w:sz w:val="22"/>
          <w:szCs w:val="22"/>
          <w:lang w:val="sv-SE"/>
        </w:rPr>
        <w:t xml:space="preserve"> tillämpas på ersättningar som avtalas, och förändringar som görs i redan avtalade ersättningar, efter det att riktlinjer</w:t>
      </w:r>
      <w:r w:rsidR="00874F10">
        <w:rPr>
          <w:sz w:val="22"/>
          <w:szCs w:val="22"/>
          <w:lang w:val="sv-SE"/>
        </w:rPr>
        <w:t>na antagits av årsstämman 2020.</w:t>
      </w:r>
    </w:p>
    <w:p w14:paraId="7ACAC3C7" w14:textId="77777777" w:rsidR="00874F10" w:rsidRDefault="00874F10" w:rsidP="00A131D3">
      <w:pPr>
        <w:jc w:val="both"/>
        <w:rPr>
          <w:sz w:val="22"/>
          <w:szCs w:val="22"/>
          <w:lang w:val="sv-SE"/>
        </w:rPr>
      </w:pPr>
    </w:p>
    <w:p w14:paraId="4FC5A9F2" w14:textId="77777777" w:rsidR="00874F10" w:rsidRDefault="00A131D3" w:rsidP="00A131D3">
      <w:pPr>
        <w:jc w:val="both"/>
        <w:rPr>
          <w:sz w:val="22"/>
          <w:szCs w:val="22"/>
          <w:lang w:val="sv-SE"/>
        </w:rPr>
      </w:pPr>
      <w:r w:rsidRPr="00874F10">
        <w:rPr>
          <w:sz w:val="22"/>
          <w:szCs w:val="22"/>
          <w:lang w:val="sv-SE"/>
        </w:rPr>
        <w:t>Riktlinjerna omfattar inte ersättningar</w:t>
      </w:r>
      <w:r w:rsidR="00874F10">
        <w:rPr>
          <w:sz w:val="22"/>
          <w:szCs w:val="22"/>
          <w:lang w:val="sv-SE"/>
        </w:rPr>
        <w:t xml:space="preserve"> eller aktierelaterade incitamentsprogram</w:t>
      </w:r>
      <w:r w:rsidRPr="00874F10">
        <w:rPr>
          <w:sz w:val="22"/>
          <w:szCs w:val="22"/>
          <w:lang w:val="sv-SE"/>
        </w:rPr>
        <w:t xml:space="preserve"> som beslutas</w:t>
      </w:r>
      <w:r w:rsidR="00874F10">
        <w:rPr>
          <w:sz w:val="22"/>
          <w:szCs w:val="22"/>
          <w:lang w:val="sv-SE"/>
        </w:rPr>
        <w:t xml:space="preserve"> eller godkänns</w:t>
      </w:r>
      <w:r w:rsidRPr="00874F10">
        <w:rPr>
          <w:sz w:val="22"/>
          <w:szCs w:val="22"/>
          <w:lang w:val="sv-SE"/>
        </w:rPr>
        <w:t xml:space="preserve"> av bolagsstämman</w:t>
      </w:r>
      <w:r w:rsidR="00874F10">
        <w:rPr>
          <w:sz w:val="22"/>
          <w:szCs w:val="22"/>
          <w:lang w:val="sv-SE"/>
        </w:rPr>
        <w:t>.</w:t>
      </w:r>
    </w:p>
    <w:p w14:paraId="6D157E1B" w14:textId="77777777" w:rsidR="00874F10" w:rsidRDefault="00874F10" w:rsidP="00A131D3">
      <w:pPr>
        <w:jc w:val="both"/>
        <w:rPr>
          <w:sz w:val="22"/>
          <w:szCs w:val="22"/>
          <w:lang w:val="sv-SE"/>
        </w:rPr>
      </w:pPr>
    </w:p>
    <w:p w14:paraId="6C93BFCD" w14:textId="76BA8C33" w:rsidR="00A131D3" w:rsidRPr="00874F10" w:rsidRDefault="00A131D3" w:rsidP="00A131D3">
      <w:pPr>
        <w:jc w:val="both"/>
        <w:rPr>
          <w:sz w:val="22"/>
          <w:szCs w:val="22"/>
          <w:lang w:val="sv-SE"/>
        </w:rPr>
      </w:pPr>
      <w:r w:rsidRPr="00874F10">
        <w:rPr>
          <w:sz w:val="22"/>
          <w:szCs w:val="22"/>
          <w:lang w:val="sv-SE"/>
        </w:rPr>
        <w:t xml:space="preserve">Riktlinjerna överensstämmer i allt väsentligt med de riktlinjer som antogs av årsstämman 2019 men är mer detaljerade i sin utformning till följd av nya lagkrav. </w:t>
      </w:r>
    </w:p>
    <w:p w14:paraId="7B320E2F" w14:textId="77777777" w:rsidR="00A131D3" w:rsidRPr="00874F10" w:rsidRDefault="00A131D3" w:rsidP="00A131D3">
      <w:pPr>
        <w:jc w:val="both"/>
        <w:rPr>
          <w:i/>
          <w:lang w:val="sv-SE"/>
        </w:rPr>
      </w:pPr>
    </w:p>
    <w:p w14:paraId="4A5724DF" w14:textId="77777777" w:rsidR="00A131D3" w:rsidRPr="00874F10" w:rsidRDefault="00A131D3" w:rsidP="00A131D3">
      <w:pPr>
        <w:jc w:val="both"/>
        <w:rPr>
          <w:rFonts w:ascii="Verdana" w:hAnsi="Verdana" w:cs="Calibri"/>
          <w:b/>
          <w:i/>
          <w:sz w:val="18"/>
          <w:szCs w:val="18"/>
          <w:lang w:val="sv-SE"/>
        </w:rPr>
      </w:pPr>
      <w:r w:rsidRPr="00874F10">
        <w:rPr>
          <w:rFonts w:ascii="Verdana" w:hAnsi="Verdana" w:cs="Calibri"/>
          <w:b/>
          <w:i/>
          <w:sz w:val="18"/>
          <w:szCs w:val="18"/>
          <w:lang w:val="sv-SE"/>
        </w:rPr>
        <w:t xml:space="preserve">Riktlinjernas främjande av </w:t>
      </w:r>
      <w:r w:rsidR="00874F10" w:rsidRPr="00874F10">
        <w:rPr>
          <w:rFonts w:ascii="Verdana" w:hAnsi="Verdana" w:cs="Calibri"/>
          <w:b/>
          <w:i/>
          <w:sz w:val="18"/>
          <w:szCs w:val="18"/>
          <w:lang w:val="sv-SE"/>
        </w:rPr>
        <w:t>Cantargia</w:t>
      </w:r>
      <w:r w:rsidRPr="00874F10">
        <w:rPr>
          <w:rFonts w:ascii="Verdana" w:hAnsi="Verdana" w:cs="Calibri"/>
          <w:b/>
          <w:i/>
          <w:sz w:val="18"/>
          <w:szCs w:val="18"/>
          <w:lang w:val="sv-SE"/>
        </w:rPr>
        <w:t>s affärsstrategi, långsiktiga intressen och hållbarhet</w:t>
      </w:r>
    </w:p>
    <w:p w14:paraId="0C2E6C56" w14:textId="77777777" w:rsidR="00874F10" w:rsidRDefault="00874F10" w:rsidP="00874F10">
      <w:pPr>
        <w:jc w:val="both"/>
        <w:rPr>
          <w:sz w:val="22"/>
          <w:szCs w:val="22"/>
          <w:lang w:val="sv-SE"/>
        </w:rPr>
      </w:pPr>
      <w:r w:rsidRPr="00874F10">
        <w:rPr>
          <w:sz w:val="22"/>
          <w:szCs w:val="22"/>
          <w:lang w:val="sv-SE"/>
        </w:rPr>
        <w:t>Cantargias affärsmodell och v</w:t>
      </w:r>
      <w:r>
        <w:rPr>
          <w:sz w:val="22"/>
          <w:szCs w:val="22"/>
          <w:lang w:val="sv-SE"/>
        </w:rPr>
        <w:t xml:space="preserve">etenskapliga strategi bygger på </w:t>
      </w:r>
      <w:r w:rsidRPr="00874F10">
        <w:rPr>
          <w:sz w:val="22"/>
          <w:szCs w:val="22"/>
          <w:lang w:val="sv-SE"/>
        </w:rPr>
        <w:t>partnerskap och Cantargia har slutit avtal med fl</w:t>
      </w:r>
      <w:r>
        <w:rPr>
          <w:sz w:val="22"/>
          <w:szCs w:val="22"/>
          <w:lang w:val="sv-SE"/>
        </w:rPr>
        <w:t xml:space="preserve">era olika företag, </w:t>
      </w:r>
      <w:r w:rsidRPr="00874F10">
        <w:rPr>
          <w:sz w:val="22"/>
          <w:szCs w:val="22"/>
          <w:lang w:val="sv-SE"/>
        </w:rPr>
        <w:t>sjukhus och akademiska gruppering</w:t>
      </w:r>
      <w:r>
        <w:rPr>
          <w:sz w:val="22"/>
          <w:szCs w:val="22"/>
          <w:lang w:val="sv-SE"/>
        </w:rPr>
        <w:t xml:space="preserve">ar. I nuläget arbetar ett </w:t>
      </w:r>
      <w:r w:rsidRPr="00874F10">
        <w:rPr>
          <w:sz w:val="22"/>
          <w:szCs w:val="22"/>
          <w:lang w:val="sv-SE"/>
        </w:rPr>
        <w:t>30-tal olika internationella och l</w:t>
      </w:r>
      <w:r>
        <w:rPr>
          <w:sz w:val="22"/>
          <w:szCs w:val="22"/>
          <w:lang w:val="sv-SE"/>
        </w:rPr>
        <w:t xml:space="preserve">okala aktörer med forskning och </w:t>
      </w:r>
      <w:r w:rsidRPr="00874F10">
        <w:rPr>
          <w:sz w:val="22"/>
          <w:szCs w:val="22"/>
          <w:lang w:val="sv-SE"/>
        </w:rPr>
        <w:t>utveckling av Cantargias CAN04-</w:t>
      </w:r>
      <w:r>
        <w:rPr>
          <w:sz w:val="22"/>
          <w:szCs w:val="22"/>
          <w:lang w:val="sv-SE"/>
        </w:rPr>
        <w:t xml:space="preserve"> och CAN10-antikroppar. Strategin bygger </w:t>
      </w:r>
      <w:r w:rsidRPr="00874F10">
        <w:rPr>
          <w:sz w:val="22"/>
          <w:szCs w:val="22"/>
          <w:lang w:val="sv-SE"/>
        </w:rPr>
        <w:t>på att driva utvecklingen av produktkandidater fram till</w:t>
      </w:r>
      <w:r>
        <w:rPr>
          <w:sz w:val="22"/>
          <w:szCs w:val="22"/>
          <w:lang w:val="sv-SE"/>
        </w:rPr>
        <w:t xml:space="preserve">s en indikation på </w:t>
      </w:r>
      <w:r w:rsidRPr="00874F10">
        <w:rPr>
          <w:sz w:val="22"/>
          <w:szCs w:val="22"/>
          <w:lang w:val="sv-SE"/>
        </w:rPr>
        <w:t>klinisk aktivitet erhållits.</w:t>
      </w:r>
      <w:r>
        <w:rPr>
          <w:sz w:val="22"/>
          <w:szCs w:val="22"/>
          <w:lang w:val="sv-SE"/>
        </w:rPr>
        <w:t xml:space="preserve"> </w:t>
      </w:r>
      <w:r w:rsidR="00A131D3" w:rsidRPr="00874F10">
        <w:rPr>
          <w:sz w:val="22"/>
          <w:szCs w:val="22"/>
          <w:lang w:val="sv-SE"/>
        </w:rPr>
        <w:t xml:space="preserve">För ytterligare information om </w:t>
      </w:r>
      <w:r w:rsidRPr="00874F10">
        <w:rPr>
          <w:sz w:val="22"/>
          <w:szCs w:val="22"/>
          <w:lang w:val="sv-SE"/>
        </w:rPr>
        <w:t>Cantargia</w:t>
      </w:r>
      <w:r>
        <w:rPr>
          <w:sz w:val="22"/>
          <w:szCs w:val="22"/>
          <w:lang w:val="sv-SE"/>
        </w:rPr>
        <w:t>s affärsstrategi, se</w:t>
      </w:r>
      <w:r w:rsidR="00A131D3" w:rsidRPr="00874F10">
        <w:rPr>
          <w:sz w:val="22"/>
          <w:szCs w:val="22"/>
          <w:lang w:val="sv-SE"/>
        </w:rPr>
        <w:t xml:space="preserve"> </w:t>
      </w:r>
      <w:r w:rsidRPr="00874F10">
        <w:rPr>
          <w:sz w:val="22"/>
          <w:szCs w:val="22"/>
          <w:lang w:val="sv-SE"/>
        </w:rPr>
        <w:t>www.cantargia</w:t>
      </w:r>
      <w:r>
        <w:rPr>
          <w:sz w:val="22"/>
          <w:szCs w:val="22"/>
          <w:lang w:val="sv-SE"/>
        </w:rPr>
        <w:t>.com.</w:t>
      </w:r>
    </w:p>
    <w:p w14:paraId="6BFED33D" w14:textId="77777777" w:rsidR="00874F10" w:rsidRDefault="00874F10" w:rsidP="00A131D3">
      <w:pPr>
        <w:jc w:val="both"/>
        <w:rPr>
          <w:sz w:val="22"/>
          <w:szCs w:val="22"/>
          <w:lang w:val="sv-SE"/>
        </w:rPr>
      </w:pPr>
    </w:p>
    <w:p w14:paraId="29FACD9D" w14:textId="77777777" w:rsidR="00A131D3" w:rsidRPr="00874F10" w:rsidRDefault="00A131D3" w:rsidP="00A131D3">
      <w:pPr>
        <w:jc w:val="both"/>
        <w:rPr>
          <w:sz w:val="22"/>
          <w:szCs w:val="22"/>
          <w:lang w:val="sv-SE"/>
        </w:rPr>
      </w:pPr>
      <w:r w:rsidRPr="00874F10">
        <w:rPr>
          <w:sz w:val="22"/>
          <w:szCs w:val="22"/>
          <w:lang w:val="sv-SE"/>
        </w:rPr>
        <w:t xml:space="preserve">En framgångsrik implementering av affärsstrategin och tillvaratagandet av </w:t>
      </w:r>
      <w:r w:rsidR="00874F10" w:rsidRPr="00874F10">
        <w:rPr>
          <w:sz w:val="22"/>
          <w:szCs w:val="22"/>
          <w:lang w:val="sv-SE"/>
        </w:rPr>
        <w:t>Cantargia</w:t>
      </w:r>
      <w:r w:rsidRPr="00874F10">
        <w:rPr>
          <w:sz w:val="22"/>
          <w:szCs w:val="22"/>
          <w:lang w:val="sv-SE"/>
        </w:rPr>
        <w:t xml:space="preserve">s långsiktiga intressen, inklusive dess hållbarhet, förutsätter att </w:t>
      </w:r>
      <w:r w:rsidR="00874F10" w:rsidRPr="00874F10">
        <w:rPr>
          <w:sz w:val="22"/>
          <w:szCs w:val="22"/>
          <w:lang w:val="sv-SE"/>
        </w:rPr>
        <w:t>Cantargia</w:t>
      </w:r>
      <w:r w:rsidRPr="00874F10">
        <w:rPr>
          <w:sz w:val="22"/>
          <w:szCs w:val="22"/>
          <w:lang w:val="sv-SE"/>
        </w:rPr>
        <w:t xml:space="preserve"> kan rekrytera och behålla kompetenta medarbetare som arbetar för att uppnå maximalt aktieägar- och kundvärde. För detta krävs att </w:t>
      </w:r>
      <w:r w:rsidR="00874F10" w:rsidRPr="00874F10">
        <w:rPr>
          <w:sz w:val="22"/>
          <w:szCs w:val="22"/>
          <w:lang w:val="sv-SE"/>
        </w:rPr>
        <w:t>Cantargia</w:t>
      </w:r>
      <w:r w:rsidRPr="00874F10">
        <w:rPr>
          <w:sz w:val="22"/>
          <w:szCs w:val="22"/>
          <w:lang w:val="sv-SE"/>
        </w:rPr>
        <w:t xml:space="preserve"> kan erbjuda konkurrenskraftig ersättning. Dessa riktlinjer möjliggör att ledande befattningshavare kan erbjudas en konkurrenskraftig totalersättning.</w:t>
      </w:r>
    </w:p>
    <w:p w14:paraId="15AEBCA8" w14:textId="77777777" w:rsidR="00A131D3" w:rsidRPr="00874F10" w:rsidRDefault="00A131D3" w:rsidP="00A131D3">
      <w:pPr>
        <w:jc w:val="both"/>
        <w:rPr>
          <w:sz w:val="22"/>
          <w:szCs w:val="22"/>
          <w:lang w:val="sv-SE"/>
        </w:rPr>
      </w:pPr>
    </w:p>
    <w:p w14:paraId="6B882A7B" w14:textId="77777777" w:rsidR="00A131D3" w:rsidRPr="00874F10" w:rsidRDefault="00A131D3" w:rsidP="00A131D3">
      <w:pPr>
        <w:jc w:val="both"/>
        <w:rPr>
          <w:sz w:val="22"/>
          <w:szCs w:val="22"/>
          <w:lang w:val="sv-SE"/>
        </w:rPr>
      </w:pPr>
      <w:r w:rsidRPr="00874F10">
        <w:rPr>
          <w:sz w:val="22"/>
          <w:szCs w:val="22"/>
          <w:lang w:val="sv-SE"/>
        </w:rPr>
        <w:t xml:space="preserve">I </w:t>
      </w:r>
      <w:r w:rsidR="00874F10" w:rsidRPr="00874F10">
        <w:rPr>
          <w:sz w:val="22"/>
          <w:szCs w:val="22"/>
          <w:lang w:val="sv-SE"/>
        </w:rPr>
        <w:t>Cantargia</w:t>
      </w:r>
      <w:r w:rsidRPr="00874F10">
        <w:rPr>
          <w:sz w:val="22"/>
          <w:szCs w:val="22"/>
          <w:lang w:val="sv-SE"/>
        </w:rPr>
        <w:t xml:space="preserve"> har inrättats långsiktiga incitamentsprogram. De har beslutats av bolagsstämman och omfattas därför inte av dessa riktlinjer. Av samma skäl omfattas inte heller det </w:t>
      </w:r>
      <w:r w:rsidR="00874F10">
        <w:rPr>
          <w:sz w:val="22"/>
          <w:szCs w:val="22"/>
          <w:lang w:val="sv-SE"/>
        </w:rPr>
        <w:t xml:space="preserve">aktierelaterade </w:t>
      </w:r>
      <w:r w:rsidRPr="00874F10">
        <w:rPr>
          <w:sz w:val="22"/>
          <w:szCs w:val="22"/>
          <w:lang w:val="sv-SE"/>
        </w:rPr>
        <w:t>incitamentsprogram</w:t>
      </w:r>
      <w:r w:rsidR="00874F10">
        <w:rPr>
          <w:sz w:val="22"/>
          <w:szCs w:val="22"/>
          <w:lang w:val="sv-SE"/>
        </w:rPr>
        <w:t xml:space="preserve"> och personaloptionsprogram</w:t>
      </w:r>
      <w:r w:rsidRPr="00874F10">
        <w:rPr>
          <w:sz w:val="22"/>
          <w:szCs w:val="22"/>
          <w:lang w:val="sv-SE"/>
        </w:rPr>
        <w:t xml:space="preserve"> som styrelsen </w:t>
      </w:r>
      <w:r w:rsidR="00CD182A">
        <w:rPr>
          <w:sz w:val="22"/>
          <w:szCs w:val="22"/>
          <w:lang w:val="sv-SE"/>
        </w:rPr>
        <w:t xml:space="preserve">har </w:t>
      </w:r>
      <w:r w:rsidRPr="00874F10">
        <w:rPr>
          <w:sz w:val="22"/>
          <w:szCs w:val="22"/>
          <w:lang w:val="sv-SE"/>
        </w:rPr>
        <w:t>föreslagi</w:t>
      </w:r>
      <w:r w:rsidR="00874F10">
        <w:rPr>
          <w:sz w:val="22"/>
          <w:szCs w:val="22"/>
          <w:lang w:val="sv-SE"/>
        </w:rPr>
        <w:t>t årsstämman 2020.</w:t>
      </w:r>
    </w:p>
    <w:p w14:paraId="61D2AC63" w14:textId="77777777" w:rsidR="00A131D3" w:rsidRPr="00874F10" w:rsidRDefault="00A131D3" w:rsidP="00A131D3">
      <w:pPr>
        <w:jc w:val="both"/>
        <w:rPr>
          <w:i/>
          <w:lang w:val="sv-SE"/>
        </w:rPr>
      </w:pPr>
    </w:p>
    <w:p w14:paraId="6A2C4DF8" w14:textId="77777777" w:rsidR="00A131D3" w:rsidRPr="00874F10" w:rsidRDefault="00A131D3" w:rsidP="00A131D3">
      <w:pPr>
        <w:jc w:val="both"/>
        <w:rPr>
          <w:rFonts w:ascii="Verdana" w:hAnsi="Verdana" w:cs="Calibri"/>
          <w:b/>
          <w:i/>
          <w:sz w:val="18"/>
          <w:szCs w:val="18"/>
          <w:lang w:val="sv-SE"/>
        </w:rPr>
      </w:pPr>
      <w:r w:rsidRPr="00874F10">
        <w:rPr>
          <w:rFonts w:ascii="Verdana" w:hAnsi="Verdana" w:cs="Calibri"/>
          <w:b/>
          <w:i/>
          <w:sz w:val="18"/>
          <w:szCs w:val="18"/>
          <w:lang w:val="sv-SE"/>
        </w:rPr>
        <w:t>Formerna av ersättning m.m.</w:t>
      </w:r>
    </w:p>
    <w:p w14:paraId="40B81489" w14:textId="77777777" w:rsidR="00A131D3" w:rsidRPr="00874F10" w:rsidRDefault="00A131D3" w:rsidP="00A131D3">
      <w:pPr>
        <w:jc w:val="both"/>
        <w:rPr>
          <w:sz w:val="22"/>
          <w:szCs w:val="22"/>
          <w:lang w:val="sv-SE"/>
        </w:rPr>
      </w:pPr>
      <w:r w:rsidRPr="00874F10">
        <w:rPr>
          <w:sz w:val="22"/>
          <w:szCs w:val="22"/>
          <w:lang w:val="sv-SE"/>
        </w:rPr>
        <w:t>Ersättningen till ledande befattningshavare ska vara marknadsmässig och får bestå av följande komponenter: fast kontantlön, rörlig kontantersättning, pensionsförmåner samt övriga förmåner. Totalersättningen ti</w:t>
      </w:r>
      <w:r w:rsidR="00957314">
        <w:rPr>
          <w:sz w:val="22"/>
          <w:szCs w:val="22"/>
          <w:lang w:val="sv-SE"/>
        </w:rPr>
        <w:t>ll ledande befattningshavare ska</w:t>
      </w:r>
      <w:r w:rsidRPr="00874F10">
        <w:rPr>
          <w:sz w:val="22"/>
          <w:szCs w:val="22"/>
          <w:lang w:val="sv-SE"/>
        </w:rPr>
        <w:t xml:space="preserve"> innehålla en avvägd blandning av ovan nämnda komponenter</w:t>
      </w:r>
      <w:r w:rsidR="00957314">
        <w:rPr>
          <w:sz w:val="22"/>
          <w:szCs w:val="22"/>
          <w:lang w:val="sv-SE"/>
        </w:rPr>
        <w:t>. Styrelsen ska</w:t>
      </w:r>
      <w:r w:rsidRPr="00874F10">
        <w:rPr>
          <w:sz w:val="22"/>
          <w:szCs w:val="22"/>
          <w:lang w:val="sv-SE"/>
        </w:rPr>
        <w:t xml:space="preserve"> årligen utvärdera huruvida långsiktiga incitamentsprogram bör föreslås bolagsstämman. </w:t>
      </w:r>
    </w:p>
    <w:p w14:paraId="70F8A5C1" w14:textId="77777777" w:rsidR="00A131D3" w:rsidRPr="00874F10" w:rsidRDefault="00A131D3" w:rsidP="00A131D3">
      <w:pPr>
        <w:jc w:val="both"/>
        <w:rPr>
          <w:sz w:val="22"/>
          <w:szCs w:val="22"/>
          <w:lang w:val="sv-SE"/>
        </w:rPr>
      </w:pPr>
    </w:p>
    <w:p w14:paraId="0DFBE317" w14:textId="77777777" w:rsidR="00A131D3" w:rsidRPr="00874F10" w:rsidRDefault="00A131D3" w:rsidP="00A131D3">
      <w:pPr>
        <w:jc w:val="both"/>
        <w:rPr>
          <w:sz w:val="22"/>
          <w:szCs w:val="22"/>
          <w:lang w:val="sv-SE"/>
        </w:rPr>
      </w:pPr>
      <w:r w:rsidRPr="00874F10">
        <w:rPr>
          <w:sz w:val="22"/>
          <w:szCs w:val="22"/>
          <w:lang w:val="sv-SE"/>
        </w:rPr>
        <w:t>Den fasta kontantlönen ska vara individuell och baserad på den ledande befattningshavarens ansvarsområden</w:t>
      </w:r>
      <w:r w:rsidR="00957314">
        <w:rPr>
          <w:sz w:val="22"/>
          <w:szCs w:val="22"/>
          <w:lang w:val="sv-SE"/>
        </w:rPr>
        <w:t>, roll, kompetens och position.</w:t>
      </w:r>
    </w:p>
    <w:p w14:paraId="13439425" w14:textId="77777777" w:rsidR="00A131D3" w:rsidRPr="00874F10" w:rsidRDefault="00A131D3" w:rsidP="00A131D3">
      <w:pPr>
        <w:jc w:val="both"/>
        <w:rPr>
          <w:sz w:val="22"/>
          <w:szCs w:val="22"/>
          <w:lang w:val="sv-SE"/>
        </w:rPr>
      </w:pPr>
    </w:p>
    <w:p w14:paraId="2296F80E" w14:textId="77777777" w:rsidR="00A131D3" w:rsidRPr="00874F10" w:rsidRDefault="00957314" w:rsidP="00A131D3">
      <w:pPr>
        <w:jc w:val="both"/>
        <w:rPr>
          <w:sz w:val="22"/>
          <w:szCs w:val="22"/>
          <w:lang w:val="sv-SE"/>
        </w:rPr>
      </w:pPr>
      <w:r>
        <w:rPr>
          <w:sz w:val="22"/>
          <w:szCs w:val="22"/>
          <w:lang w:val="sv-SE"/>
        </w:rPr>
        <w:t>För VD får d</w:t>
      </w:r>
      <w:r w:rsidR="00A131D3" w:rsidRPr="00874F10">
        <w:rPr>
          <w:sz w:val="22"/>
          <w:szCs w:val="22"/>
          <w:lang w:val="sv-SE"/>
        </w:rPr>
        <w:t xml:space="preserve">en rörliga kontantersättningen uppgå till högst </w:t>
      </w:r>
      <w:r>
        <w:rPr>
          <w:sz w:val="22"/>
          <w:szCs w:val="22"/>
          <w:lang w:val="sv-SE"/>
        </w:rPr>
        <w:t xml:space="preserve">30 procent av </w:t>
      </w:r>
      <w:r w:rsidR="00CD182A">
        <w:rPr>
          <w:sz w:val="22"/>
          <w:szCs w:val="22"/>
          <w:lang w:val="sv-SE"/>
        </w:rPr>
        <w:t xml:space="preserve">den </w:t>
      </w:r>
      <w:r>
        <w:rPr>
          <w:sz w:val="22"/>
          <w:szCs w:val="22"/>
          <w:lang w:val="sv-SE"/>
        </w:rPr>
        <w:t>fasta årliga kontantlön</w:t>
      </w:r>
      <w:r w:rsidR="00CD182A">
        <w:rPr>
          <w:sz w:val="22"/>
          <w:szCs w:val="22"/>
          <w:lang w:val="sv-SE"/>
        </w:rPr>
        <w:t>en</w:t>
      </w:r>
      <w:r w:rsidR="00A131D3" w:rsidRPr="00874F10">
        <w:rPr>
          <w:sz w:val="22"/>
          <w:szCs w:val="22"/>
          <w:lang w:val="sv-SE"/>
        </w:rPr>
        <w:t>.</w:t>
      </w:r>
      <w:r>
        <w:rPr>
          <w:sz w:val="22"/>
          <w:szCs w:val="22"/>
          <w:lang w:val="sv-SE"/>
        </w:rPr>
        <w:t xml:space="preserve"> För övriga ledande befattningshavare får motsvarande ersättning uppgå till </w:t>
      </w:r>
      <w:r w:rsidRPr="00874F10">
        <w:rPr>
          <w:sz w:val="22"/>
          <w:szCs w:val="22"/>
          <w:lang w:val="sv-SE"/>
        </w:rPr>
        <w:t xml:space="preserve">högst </w:t>
      </w:r>
      <w:r>
        <w:rPr>
          <w:sz w:val="22"/>
          <w:szCs w:val="22"/>
          <w:lang w:val="sv-SE"/>
        </w:rPr>
        <w:t xml:space="preserve">10 procent av befattningshavarens fasta årliga kontantlön. Rörlig kontantersättning </w:t>
      </w:r>
      <w:r w:rsidR="00CD182A">
        <w:rPr>
          <w:sz w:val="22"/>
          <w:szCs w:val="22"/>
          <w:lang w:val="sv-SE"/>
        </w:rPr>
        <w:t xml:space="preserve">kan vara </w:t>
      </w:r>
      <w:r>
        <w:rPr>
          <w:sz w:val="22"/>
          <w:szCs w:val="22"/>
          <w:lang w:val="sv-SE"/>
        </w:rPr>
        <w:t xml:space="preserve">pensionsgrundande för det fall </w:t>
      </w:r>
      <w:r w:rsidR="00CD182A">
        <w:rPr>
          <w:sz w:val="22"/>
          <w:szCs w:val="22"/>
          <w:lang w:val="sv-SE"/>
        </w:rPr>
        <w:t xml:space="preserve">så </w:t>
      </w:r>
      <w:r>
        <w:rPr>
          <w:sz w:val="22"/>
          <w:szCs w:val="22"/>
          <w:lang w:val="sv-SE"/>
        </w:rPr>
        <w:t>följer av</w:t>
      </w:r>
      <w:r w:rsidRPr="00874F10">
        <w:rPr>
          <w:sz w:val="22"/>
          <w:szCs w:val="22"/>
          <w:lang w:val="sv-SE"/>
        </w:rPr>
        <w:t xml:space="preserve"> tvingande kollektivavtalsbestämmelser</w:t>
      </w:r>
    </w:p>
    <w:p w14:paraId="14B6F5CC" w14:textId="77777777" w:rsidR="00A131D3" w:rsidRPr="00874F10" w:rsidRDefault="00A131D3" w:rsidP="00A131D3">
      <w:pPr>
        <w:jc w:val="both"/>
        <w:rPr>
          <w:sz w:val="22"/>
          <w:szCs w:val="22"/>
          <w:lang w:val="sv-SE"/>
        </w:rPr>
      </w:pPr>
    </w:p>
    <w:p w14:paraId="4A005C3D" w14:textId="77777777" w:rsidR="00A131D3" w:rsidRPr="00874F10" w:rsidRDefault="00957314" w:rsidP="00A131D3">
      <w:pPr>
        <w:jc w:val="both"/>
        <w:rPr>
          <w:sz w:val="22"/>
          <w:szCs w:val="22"/>
          <w:lang w:val="sv-SE"/>
        </w:rPr>
      </w:pPr>
      <w:r>
        <w:rPr>
          <w:sz w:val="22"/>
          <w:szCs w:val="22"/>
          <w:lang w:val="sv-SE"/>
        </w:rPr>
        <w:t>P</w:t>
      </w:r>
      <w:r w:rsidR="00A131D3" w:rsidRPr="00874F10">
        <w:rPr>
          <w:sz w:val="22"/>
          <w:szCs w:val="22"/>
          <w:lang w:val="sv-SE"/>
        </w:rPr>
        <w:t xml:space="preserve">ensionsförmåner </w:t>
      </w:r>
      <w:r>
        <w:rPr>
          <w:sz w:val="22"/>
          <w:szCs w:val="22"/>
          <w:lang w:val="sv-SE"/>
        </w:rPr>
        <w:t xml:space="preserve">ska </w:t>
      </w:r>
      <w:r w:rsidR="00A131D3" w:rsidRPr="00874F10">
        <w:rPr>
          <w:sz w:val="22"/>
          <w:szCs w:val="22"/>
          <w:lang w:val="sv-SE"/>
        </w:rPr>
        <w:t>vara premiebestämda om inte befattningshavaren omfattas av förmånsbestämd pension enligt tvingan</w:t>
      </w:r>
      <w:r>
        <w:rPr>
          <w:sz w:val="22"/>
          <w:szCs w:val="22"/>
          <w:lang w:val="sv-SE"/>
        </w:rPr>
        <w:t xml:space="preserve">de kollektivavtalsbestämmelser. </w:t>
      </w:r>
      <w:r w:rsidR="00A131D3" w:rsidRPr="00874F10">
        <w:rPr>
          <w:sz w:val="22"/>
          <w:szCs w:val="22"/>
          <w:lang w:val="sv-SE"/>
        </w:rPr>
        <w:t>Pensionspremierna för premiebestäm</w:t>
      </w:r>
      <w:r>
        <w:rPr>
          <w:sz w:val="22"/>
          <w:szCs w:val="22"/>
          <w:lang w:val="sv-SE"/>
        </w:rPr>
        <w:t>d pension ska uppgå till högst 3</w:t>
      </w:r>
      <w:r w:rsidR="00A131D3" w:rsidRPr="00874F10">
        <w:rPr>
          <w:sz w:val="22"/>
          <w:szCs w:val="22"/>
          <w:lang w:val="sv-SE"/>
        </w:rPr>
        <w:t>5 procent av den fasta årliga kontantlönen. Styrelsen ska ha rätt att utan hinder av ovanstående istället erbjuda andra lösningar som är kostnadsmässigt likvärdiga för bolaget.</w:t>
      </w:r>
    </w:p>
    <w:p w14:paraId="0ADF74CB" w14:textId="77777777" w:rsidR="00A131D3" w:rsidRPr="00874F10" w:rsidRDefault="00A131D3" w:rsidP="00A131D3">
      <w:pPr>
        <w:jc w:val="both"/>
        <w:rPr>
          <w:sz w:val="22"/>
          <w:szCs w:val="22"/>
          <w:lang w:val="sv-SE"/>
        </w:rPr>
      </w:pPr>
    </w:p>
    <w:p w14:paraId="3990410D" w14:textId="77777777" w:rsidR="00A131D3" w:rsidRDefault="00A131D3" w:rsidP="00A131D3">
      <w:pPr>
        <w:jc w:val="both"/>
        <w:rPr>
          <w:sz w:val="22"/>
          <w:szCs w:val="22"/>
          <w:lang w:val="sv-SE"/>
        </w:rPr>
      </w:pPr>
      <w:r w:rsidRPr="00874F10">
        <w:rPr>
          <w:sz w:val="22"/>
          <w:szCs w:val="22"/>
          <w:lang w:val="sv-SE"/>
        </w:rPr>
        <w:lastRenderedPageBreak/>
        <w:t xml:space="preserve">Övriga förmåner får innefatta bl.a. </w:t>
      </w:r>
      <w:r w:rsidR="00957314">
        <w:rPr>
          <w:sz w:val="22"/>
          <w:szCs w:val="22"/>
          <w:lang w:val="sv-SE"/>
        </w:rPr>
        <w:t xml:space="preserve">sjukvårdsförsäkring </w:t>
      </w:r>
      <w:r w:rsidRPr="00874F10">
        <w:rPr>
          <w:sz w:val="22"/>
          <w:szCs w:val="22"/>
          <w:lang w:val="sv-SE"/>
        </w:rPr>
        <w:t>och företagshälsovård. Sådana förmåner ska vara av begränsat värde i förhållande till övrig kompensation och överensstämma med vad som marknadsmässigt är brukligt på respektive geografisk marknad. Övriga förmåner få</w:t>
      </w:r>
      <w:r w:rsidR="00957314">
        <w:rPr>
          <w:sz w:val="22"/>
          <w:szCs w:val="22"/>
          <w:lang w:val="sv-SE"/>
        </w:rPr>
        <w:t>r sammanlagt uppgå till högst 10</w:t>
      </w:r>
      <w:r w:rsidRPr="00874F10">
        <w:rPr>
          <w:sz w:val="22"/>
          <w:szCs w:val="22"/>
          <w:lang w:val="sv-SE"/>
        </w:rPr>
        <w:t xml:space="preserve"> procent av den fasta årliga kontantlönen.</w:t>
      </w:r>
    </w:p>
    <w:p w14:paraId="6E1C5720" w14:textId="77777777" w:rsidR="00957314" w:rsidRDefault="00957314" w:rsidP="00A131D3">
      <w:pPr>
        <w:jc w:val="both"/>
        <w:rPr>
          <w:sz w:val="22"/>
          <w:szCs w:val="22"/>
          <w:lang w:val="sv-SE"/>
        </w:rPr>
      </w:pPr>
    </w:p>
    <w:p w14:paraId="50476ACC" w14:textId="77777777" w:rsidR="00957314" w:rsidRPr="00874F10" w:rsidRDefault="00957314" w:rsidP="00A131D3">
      <w:pPr>
        <w:jc w:val="both"/>
        <w:rPr>
          <w:sz w:val="22"/>
          <w:szCs w:val="22"/>
          <w:lang w:val="sv-SE"/>
        </w:rPr>
      </w:pPr>
      <w:r w:rsidRPr="00957314">
        <w:rPr>
          <w:sz w:val="22"/>
          <w:szCs w:val="22"/>
          <w:lang w:val="sv-SE"/>
        </w:rPr>
        <w:t>Beträffande anställningsförhållanden som lyder under andra regler än svenska får, såvitt avser pensionsförmåner och andra förmåner, vederbörliga anpassningar ske för att följa tvingande sådana regler eller fast lokal praxis, varvid dessa riktlinjers övergripande ändamål så långt möjligt ska tillgodoses</w:t>
      </w:r>
      <w:r>
        <w:rPr>
          <w:sz w:val="22"/>
          <w:szCs w:val="22"/>
          <w:lang w:val="sv-SE"/>
        </w:rPr>
        <w:t>.</w:t>
      </w:r>
    </w:p>
    <w:p w14:paraId="5ED8FDD5" w14:textId="77777777" w:rsidR="00A131D3" w:rsidRPr="00874F10" w:rsidRDefault="00A131D3" w:rsidP="00A131D3">
      <w:pPr>
        <w:jc w:val="both"/>
        <w:rPr>
          <w:i/>
          <w:lang w:val="sv-SE"/>
        </w:rPr>
      </w:pPr>
    </w:p>
    <w:p w14:paraId="458EB988" w14:textId="77777777" w:rsidR="00A131D3" w:rsidRPr="00874F10" w:rsidRDefault="00A131D3" w:rsidP="00A131D3">
      <w:pPr>
        <w:jc w:val="both"/>
        <w:rPr>
          <w:rFonts w:ascii="Verdana" w:hAnsi="Verdana" w:cs="Calibri"/>
          <w:b/>
          <w:i/>
          <w:sz w:val="18"/>
          <w:szCs w:val="18"/>
          <w:lang w:val="sv-SE"/>
        </w:rPr>
      </w:pPr>
      <w:r w:rsidRPr="00874F10">
        <w:rPr>
          <w:rFonts w:ascii="Verdana" w:hAnsi="Verdana" w:cs="Calibri"/>
          <w:b/>
          <w:i/>
          <w:sz w:val="18"/>
          <w:szCs w:val="18"/>
          <w:lang w:val="sv-SE"/>
        </w:rPr>
        <w:t>Upphörande av anställning</w:t>
      </w:r>
    </w:p>
    <w:p w14:paraId="0F70787E" w14:textId="77777777" w:rsidR="00957314" w:rsidRDefault="00957314" w:rsidP="00A131D3">
      <w:pPr>
        <w:jc w:val="both"/>
        <w:rPr>
          <w:sz w:val="22"/>
          <w:szCs w:val="22"/>
          <w:lang w:val="sv-SE"/>
        </w:rPr>
      </w:pPr>
      <w:r w:rsidRPr="00957314">
        <w:rPr>
          <w:sz w:val="22"/>
          <w:szCs w:val="22"/>
          <w:lang w:val="sv-SE"/>
        </w:rPr>
        <w:t xml:space="preserve">Vid uppsägning från </w:t>
      </w:r>
      <w:r>
        <w:rPr>
          <w:sz w:val="22"/>
          <w:szCs w:val="22"/>
          <w:lang w:val="sv-SE"/>
        </w:rPr>
        <w:t>Cantargias</w:t>
      </w:r>
      <w:r w:rsidRPr="00957314">
        <w:rPr>
          <w:sz w:val="22"/>
          <w:szCs w:val="22"/>
          <w:lang w:val="sv-SE"/>
        </w:rPr>
        <w:t xml:space="preserve"> sida får up</w:t>
      </w:r>
      <w:r>
        <w:rPr>
          <w:sz w:val="22"/>
          <w:szCs w:val="22"/>
          <w:lang w:val="sv-SE"/>
        </w:rPr>
        <w:t>psägningstiden vara högst sex</w:t>
      </w:r>
      <w:r w:rsidRPr="00957314">
        <w:rPr>
          <w:sz w:val="22"/>
          <w:szCs w:val="22"/>
          <w:lang w:val="sv-SE"/>
        </w:rPr>
        <w:t xml:space="preserve"> månader. Vid uppsägning från befattningshavarens sida får u</w:t>
      </w:r>
      <w:r>
        <w:rPr>
          <w:sz w:val="22"/>
          <w:szCs w:val="22"/>
          <w:lang w:val="sv-SE"/>
        </w:rPr>
        <w:t>ppsägningstiden vara högst sex</w:t>
      </w:r>
      <w:r w:rsidRPr="00957314">
        <w:rPr>
          <w:sz w:val="22"/>
          <w:szCs w:val="22"/>
          <w:lang w:val="sv-SE"/>
        </w:rPr>
        <w:t xml:space="preserve"> månader</w:t>
      </w:r>
      <w:r>
        <w:rPr>
          <w:sz w:val="22"/>
          <w:szCs w:val="22"/>
          <w:lang w:val="sv-SE"/>
        </w:rPr>
        <w:t xml:space="preserve"> för VD och </w:t>
      </w:r>
      <w:r w:rsidR="00CD182A">
        <w:rPr>
          <w:sz w:val="22"/>
          <w:szCs w:val="22"/>
          <w:lang w:val="sv-SE"/>
        </w:rPr>
        <w:t xml:space="preserve">minst </w:t>
      </w:r>
      <w:r>
        <w:rPr>
          <w:sz w:val="22"/>
          <w:szCs w:val="22"/>
          <w:lang w:val="sv-SE"/>
        </w:rPr>
        <w:t>tre månader för övriga ledande befattningshavare.</w:t>
      </w:r>
    </w:p>
    <w:p w14:paraId="68CB2455" w14:textId="77777777" w:rsidR="00957314" w:rsidRDefault="00957314" w:rsidP="00A131D3">
      <w:pPr>
        <w:jc w:val="both"/>
        <w:rPr>
          <w:sz w:val="22"/>
          <w:szCs w:val="22"/>
          <w:lang w:val="sv-SE"/>
        </w:rPr>
      </w:pPr>
    </w:p>
    <w:p w14:paraId="543DB150" w14:textId="77777777" w:rsidR="00957314" w:rsidRPr="00957314" w:rsidRDefault="00957314" w:rsidP="00957314">
      <w:pPr>
        <w:jc w:val="both"/>
        <w:rPr>
          <w:sz w:val="22"/>
          <w:szCs w:val="22"/>
          <w:lang w:val="sv-SE"/>
        </w:rPr>
      </w:pPr>
      <w:r w:rsidRPr="00957314">
        <w:rPr>
          <w:sz w:val="22"/>
          <w:szCs w:val="22"/>
          <w:lang w:val="sv-SE"/>
        </w:rPr>
        <w:t xml:space="preserve">För </w:t>
      </w:r>
      <w:r>
        <w:rPr>
          <w:sz w:val="22"/>
          <w:szCs w:val="22"/>
          <w:lang w:val="sv-SE"/>
        </w:rPr>
        <w:t>VD kan,</w:t>
      </w:r>
      <w:r w:rsidRPr="00957314">
        <w:rPr>
          <w:sz w:val="22"/>
          <w:szCs w:val="22"/>
          <w:lang w:val="sv-SE"/>
        </w:rPr>
        <w:t xml:space="preserve"> </w:t>
      </w:r>
      <w:r>
        <w:rPr>
          <w:sz w:val="22"/>
          <w:szCs w:val="22"/>
          <w:lang w:val="sv-SE"/>
        </w:rPr>
        <w:t xml:space="preserve">utöver fast grundlön </w:t>
      </w:r>
      <w:r w:rsidRPr="00957314">
        <w:rPr>
          <w:sz w:val="22"/>
          <w:szCs w:val="22"/>
          <w:lang w:val="sv-SE"/>
        </w:rPr>
        <w:t>under uppsägningstiden</w:t>
      </w:r>
      <w:r>
        <w:rPr>
          <w:sz w:val="22"/>
          <w:szCs w:val="22"/>
          <w:lang w:val="sv-SE"/>
        </w:rPr>
        <w:t>, avgångsvederlag om</w:t>
      </w:r>
      <w:r w:rsidRPr="00957314">
        <w:rPr>
          <w:sz w:val="22"/>
          <w:szCs w:val="22"/>
          <w:lang w:val="sv-SE"/>
        </w:rPr>
        <w:t xml:space="preserve"> upp till tolv månaders </w:t>
      </w:r>
      <w:r>
        <w:rPr>
          <w:sz w:val="22"/>
          <w:szCs w:val="22"/>
          <w:lang w:val="sv-SE"/>
        </w:rPr>
        <w:t>fast kontantlön samt</w:t>
      </w:r>
      <w:r w:rsidRPr="00957314">
        <w:rPr>
          <w:sz w:val="22"/>
          <w:szCs w:val="22"/>
          <w:lang w:val="sv-SE"/>
        </w:rPr>
        <w:t xml:space="preserve"> anställningsförmåner </w:t>
      </w:r>
      <w:r>
        <w:rPr>
          <w:sz w:val="22"/>
          <w:szCs w:val="22"/>
          <w:lang w:val="sv-SE"/>
        </w:rPr>
        <w:t>utgå.</w:t>
      </w:r>
      <w:r w:rsidRPr="00957314">
        <w:rPr>
          <w:sz w:val="22"/>
          <w:szCs w:val="22"/>
          <w:lang w:val="sv-SE"/>
        </w:rPr>
        <w:t xml:space="preserve"> För </w:t>
      </w:r>
      <w:r>
        <w:rPr>
          <w:sz w:val="22"/>
          <w:szCs w:val="22"/>
          <w:lang w:val="sv-SE"/>
        </w:rPr>
        <w:t>övriga ledande befattningshavare</w:t>
      </w:r>
      <w:r w:rsidRPr="00957314">
        <w:rPr>
          <w:sz w:val="22"/>
          <w:szCs w:val="22"/>
          <w:lang w:val="sv-SE"/>
        </w:rPr>
        <w:t xml:space="preserve"> får </w:t>
      </w:r>
      <w:r>
        <w:rPr>
          <w:sz w:val="22"/>
          <w:szCs w:val="22"/>
          <w:lang w:val="sv-SE"/>
        </w:rPr>
        <w:t>fast grundlön</w:t>
      </w:r>
      <w:r w:rsidRPr="00957314">
        <w:rPr>
          <w:sz w:val="22"/>
          <w:szCs w:val="22"/>
          <w:lang w:val="sv-SE"/>
        </w:rPr>
        <w:t xml:space="preserve"> under uppsägningstiden och avgångsvederlag tillsammans inte överstiga ett belopp </w:t>
      </w:r>
      <w:r>
        <w:rPr>
          <w:sz w:val="22"/>
          <w:szCs w:val="22"/>
          <w:lang w:val="sv-SE"/>
        </w:rPr>
        <w:t>motsvarande</w:t>
      </w:r>
      <w:r w:rsidRPr="00957314">
        <w:rPr>
          <w:sz w:val="22"/>
          <w:szCs w:val="22"/>
          <w:lang w:val="sv-SE"/>
        </w:rPr>
        <w:t xml:space="preserve"> </w:t>
      </w:r>
      <w:r>
        <w:rPr>
          <w:sz w:val="22"/>
          <w:szCs w:val="22"/>
          <w:lang w:val="sv-SE"/>
        </w:rPr>
        <w:t>befatt</w:t>
      </w:r>
      <w:r w:rsidR="00897185">
        <w:rPr>
          <w:sz w:val="22"/>
          <w:szCs w:val="22"/>
          <w:lang w:val="sv-SE"/>
        </w:rPr>
        <w:t>ningshavarens årliga fasta kontant</w:t>
      </w:r>
      <w:r>
        <w:rPr>
          <w:sz w:val="22"/>
          <w:szCs w:val="22"/>
          <w:lang w:val="sv-SE"/>
        </w:rPr>
        <w:t>lön</w:t>
      </w:r>
      <w:r w:rsidRPr="00957314">
        <w:rPr>
          <w:sz w:val="22"/>
          <w:szCs w:val="22"/>
          <w:lang w:val="sv-SE"/>
        </w:rPr>
        <w:t>.</w:t>
      </w:r>
    </w:p>
    <w:p w14:paraId="5DC81B22" w14:textId="77777777" w:rsidR="00957314" w:rsidRPr="00874F10" w:rsidRDefault="00957314" w:rsidP="00A131D3">
      <w:pPr>
        <w:jc w:val="both"/>
        <w:rPr>
          <w:i/>
          <w:lang w:val="sv-SE"/>
        </w:rPr>
      </w:pPr>
    </w:p>
    <w:p w14:paraId="60C5D5B8" w14:textId="77777777" w:rsidR="00A131D3" w:rsidRPr="00874F10" w:rsidRDefault="00A131D3" w:rsidP="00A131D3">
      <w:pPr>
        <w:jc w:val="both"/>
        <w:rPr>
          <w:rFonts w:ascii="Verdana" w:hAnsi="Verdana" w:cs="Calibri"/>
          <w:b/>
          <w:i/>
          <w:sz w:val="18"/>
          <w:szCs w:val="18"/>
          <w:lang w:val="sv-SE"/>
        </w:rPr>
      </w:pPr>
      <w:r w:rsidRPr="00874F10">
        <w:rPr>
          <w:rFonts w:ascii="Verdana" w:hAnsi="Verdana" w:cs="Calibri"/>
          <w:b/>
          <w:i/>
          <w:sz w:val="18"/>
          <w:szCs w:val="18"/>
          <w:lang w:val="sv-SE"/>
        </w:rPr>
        <w:t>Kriterier för utdelning av rörlig kontantersättning m.m.</w:t>
      </w:r>
    </w:p>
    <w:p w14:paraId="20A4E30A" w14:textId="77777777" w:rsidR="00A131D3" w:rsidRPr="00874F10" w:rsidRDefault="00A131D3" w:rsidP="00A131D3">
      <w:pPr>
        <w:jc w:val="both"/>
        <w:rPr>
          <w:sz w:val="22"/>
          <w:szCs w:val="22"/>
          <w:lang w:val="sv-SE"/>
        </w:rPr>
      </w:pPr>
      <w:r w:rsidRPr="00874F10">
        <w:rPr>
          <w:sz w:val="22"/>
          <w:szCs w:val="22"/>
          <w:lang w:val="sv-SE"/>
        </w:rPr>
        <w:t xml:space="preserve">Rörlig kontantersättning ska vara kopplad till förutbestämda och mätbara kriterier, som kan vara finansiella eller icke-finansiella, utformade med syfte att främja bolagets långsiktiga värdeskapande. Kriterierna ska relatera till utvecklingen i de </w:t>
      </w:r>
      <w:proofErr w:type="gramStart"/>
      <w:r w:rsidRPr="00874F10">
        <w:rPr>
          <w:sz w:val="22"/>
          <w:szCs w:val="22"/>
          <w:lang w:val="sv-SE"/>
        </w:rPr>
        <w:t xml:space="preserve">utvecklingsprojekt </w:t>
      </w:r>
      <w:r w:rsidR="00CD182A">
        <w:rPr>
          <w:sz w:val="22"/>
          <w:szCs w:val="22"/>
          <w:lang w:val="sv-SE"/>
        </w:rPr>
        <w:t>b</w:t>
      </w:r>
      <w:r w:rsidRPr="00874F10">
        <w:rPr>
          <w:sz w:val="22"/>
          <w:szCs w:val="22"/>
          <w:lang w:val="sv-SE"/>
        </w:rPr>
        <w:t>olaget</w:t>
      </w:r>
      <w:proofErr w:type="gramEnd"/>
      <w:r w:rsidRPr="00874F10">
        <w:rPr>
          <w:sz w:val="22"/>
          <w:szCs w:val="22"/>
          <w:lang w:val="sv-SE"/>
        </w:rPr>
        <w:t xml:space="preserve"> bedriver och de partnerskap Bolaget ingår för accelerering av </w:t>
      </w:r>
      <w:r w:rsidR="00CD182A">
        <w:rPr>
          <w:sz w:val="22"/>
          <w:szCs w:val="22"/>
          <w:lang w:val="sv-SE"/>
        </w:rPr>
        <w:t xml:space="preserve">den </w:t>
      </w:r>
      <w:r w:rsidRPr="00874F10">
        <w:rPr>
          <w:sz w:val="22"/>
          <w:szCs w:val="22"/>
          <w:lang w:val="sv-SE"/>
        </w:rPr>
        <w:t>klinisk</w:t>
      </w:r>
      <w:r w:rsidR="00CD182A">
        <w:rPr>
          <w:sz w:val="22"/>
          <w:szCs w:val="22"/>
          <w:lang w:val="sv-SE"/>
        </w:rPr>
        <w:t>a</w:t>
      </w:r>
      <w:r w:rsidRPr="00874F10">
        <w:rPr>
          <w:sz w:val="22"/>
          <w:szCs w:val="22"/>
          <w:lang w:val="sv-SE"/>
        </w:rPr>
        <w:t xml:space="preserve"> utveckling</w:t>
      </w:r>
      <w:r w:rsidR="00CD182A">
        <w:rPr>
          <w:sz w:val="22"/>
          <w:szCs w:val="22"/>
          <w:lang w:val="sv-SE"/>
        </w:rPr>
        <w:t>en</w:t>
      </w:r>
      <w:r w:rsidRPr="00874F10">
        <w:rPr>
          <w:sz w:val="22"/>
          <w:szCs w:val="22"/>
          <w:lang w:val="sv-SE"/>
        </w:rPr>
        <w:t xml:space="preserve"> och framtida kommersialisering, samt de ersättningar (exempelvis engångsbetalningar vid avtalsingående, milstolpeersä</w:t>
      </w:r>
      <w:r w:rsidR="00957314">
        <w:rPr>
          <w:sz w:val="22"/>
          <w:szCs w:val="22"/>
          <w:lang w:val="sv-SE"/>
        </w:rPr>
        <w:t xml:space="preserve">ttningar </w:t>
      </w:r>
      <w:r w:rsidRPr="00874F10">
        <w:rPr>
          <w:sz w:val="22"/>
          <w:szCs w:val="22"/>
          <w:lang w:val="sv-SE"/>
        </w:rPr>
        <w:t xml:space="preserve">eller royaltyer) denna utveckling resulterar i. Kriterierna ska vidare vara utformade så att de främjar </w:t>
      </w:r>
      <w:r w:rsidR="00874F10" w:rsidRPr="00874F10">
        <w:rPr>
          <w:sz w:val="22"/>
          <w:szCs w:val="22"/>
          <w:lang w:val="sv-SE"/>
        </w:rPr>
        <w:t>Cantargia</w:t>
      </w:r>
      <w:r w:rsidRPr="00874F10">
        <w:rPr>
          <w:sz w:val="22"/>
          <w:szCs w:val="22"/>
          <w:lang w:val="sv-SE"/>
        </w:rPr>
        <w:t xml:space="preserve">s affärsstrategi och långsiktiga intressen, inklusive dess hållbarhet. </w:t>
      </w:r>
    </w:p>
    <w:p w14:paraId="70A6BF63" w14:textId="77777777" w:rsidR="00A131D3" w:rsidRPr="00874F10" w:rsidRDefault="00A131D3" w:rsidP="00A131D3">
      <w:pPr>
        <w:jc w:val="both"/>
        <w:rPr>
          <w:sz w:val="22"/>
          <w:szCs w:val="22"/>
          <w:lang w:val="sv-SE"/>
        </w:rPr>
      </w:pPr>
    </w:p>
    <w:p w14:paraId="4809211D" w14:textId="77777777" w:rsidR="00A131D3" w:rsidRPr="00874F10" w:rsidRDefault="00A131D3" w:rsidP="00A131D3">
      <w:pPr>
        <w:jc w:val="both"/>
        <w:rPr>
          <w:sz w:val="22"/>
          <w:szCs w:val="22"/>
          <w:lang w:val="sv-SE"/>
        </w:rPr>
      </w:pPr>
      <w:r w:rsidRPr="00874F10">
        <w:rPr>
          <w:sz w:val="22"/>
          <w:szCs w:val="22"/>
          <w:lang w:val="sv-SE"/>
        </w:rPr>
        <w:t xml:space="preserve">Uppfyllelse av kriterier för utbetalning av rörlig kontantersättning ska mätas under en period om ett år. När mätperioden för uppfyllelse av kriterier för utbetalning av rörlig kontantersättning avslutats ska fastställas i vilken utsträckning kriterierna uppfyllts. </w:t>
      </w:r>
      <w:r w:rsidR="00957314">
        <w:rPr>
          <w:sz w:val="22"/>
          <w:szCs w:val="22"/>
          <w:lang w:val="sv-SE"/>
        </w:rPr>
        <w:t>Ersättningsutskottet</w:t>
      </w:r>
      <w:r w:rsidRPr="00874F10">
        <w:rPr>
          <w:sz w:val="22"/>
          <w:szCs w:val="22"/>
          <w:lang w:val="sv-SE"/>
        </w:rPr>
        <w:t xml:space="preserve"> ansvarar för bedömningen avseende rörlig kontantersättning till ledande befattningshavare. Såvitt avser finansiella mål ska bedömningen baseras på den av bolaget senast offentliggjorda finansiella informationen.</w:t>
      </w:r>
    </w:p>
    <w:p w14:paraId="214841F5" w14:textId="77777777" w:rsidR="00A131D3" w:rsidRPr="00874F10" w:rsidRDefault="00A131D3" w:rsidP="00A131D3">
      <w:pPr>
        <w:keepNext/>
        <w:jc w:val="both"/>
        <w:rPr>
          <w:i/>
          <w:lang w:val="sv-SE"/>
        </w:rPr>
      </w:pPr>
    </w:p>
    <w:p w14:paraId="6C172779" w14:textId="77777777" w:rsidR="00A131D3" w:rsidRPr="00874F10" w:rsidRDefault="00A131D3" w:rsidP="00A131D3">
      <w:pPr>
        <w:jc w:val="both"/>
        <w:rPr>
          <w:rFonts w:ascii="Verdana" w:hAnsi="Verdana" w:cs="Calibri"/>
          <w:b/>
          <w:i/>
          <w:sz w:val="18"/>
          <w:szCs w:val="18"/>
          <w:lang w:val="sv-SE"/>
        </w:rPr>
      </w:pPr>
      <w:r w:rsidRPr="00874F10">
        <w:rPr>
          <w:rFonts w:ascii="Verdana" w:hAnsi="Verdana" w:cs="Calibri"/>
          <w:b/>
          <w:i/>
          <w:sz w:val="18"/>
          <w:szCs w:val="18"/>
          <w:lang w:val="sv-SE"/>
        </w:rPr>
        <w:t>Lön och anställningsvillkor för anställda</w:t>
      </w:r>
    </w:p>
    <w:p w14:paraId="4F523422" w14:textId="77777777" w:rsidR="00A131D3" w:rsidRPr="00874F10" w:rsidRDefault="00A131D3" w:rsidP="00A131D3">
      <w:pPr>
        <w:jc w:val="both"/>
        <w:rPr>
          <w:sz w:val="22"/>
          <w:szCs w:val="22"/>
          <w:lang w:val="sv-SE"/>
        </w:rPr>
      </w:pPr>
      <w:r w:rsidRPr="00874F10">
        <w:rPr>
          <w:sz w:val="22"/>
          <w:szCs w:val="22"/>
          <w:lang w:val="sv-SE"/>
        </w:rPr>
        <w:t xml:space="preserve">Vid beredningen av styrelsens förslag till dessa ersättningsriktlinjer har lön och anställningsvillkor för bolagets anställda beaktats genom att uppgifter om anställdas totalersättning, ersättningens komponenter samt ersättningens ökning och ökningstakt över tid har utgjort en del av styrelsens beslutsunderlag vid utvärderingen av skäligheten av riktlinjerna och de begränsningar som följer av dessa. </w:t>
      </w:r>
    </w:p>
    <w:p w14:paraId="1FA6DAD7" w14:textId="77777777" w:rsidR="00A131D3" w:rsidRPr="00874F10" w:rsidRDefault="00A131D3" w:rsidP="00A131D3">
      <w:pPr>
        <w:jc w:val="both"/>
        <w:rPr>
          <w:i/>
          <w:lang w:val="sv-SE"/>
        </w:rPr>
      </w:pPr>
    </w:p>
    <w:p w14:paraId="5F261F74" w14:textId="77777777" w:rsidR="00A131D3" w:rsidRPr="00874F10" w:rsidRDefault="00A131D3" w:rsidP="00A131D3">
      <w:pPr>
        <w:jc w:val="both"/>
        <w:rPr>
          <w:rFonts w:ascii="Verdana" w:hAnsi="Verdana" w:cs="Calibri"/>
          <w:b/>
          <w:i/>
          <w:sz w:val="18"/>
          <w:szCs w:val="18"/>
          <w:lang w:val="sv-SE"/>
        </w:rPr>
      </w:pPr>
      <w:r w:rsidRPr="00874F10">
        <w:rPr>
          <w:rFonts w:ascii="Verdana" w:hAnsi="Verdana" w:cs="Calibri"/>
          <w:b/>
          <w:i/>
          <w:sz w:val="18"/>
          <w:szCs w:val="18"/>
          <w:lang w:val="sv-SE"/>
        </w:rPr>
        <w:t>Beslutsprocessen för att fastställa, se över och genomföra riktlinjerna</w:t>
      </w:r>
    </w:p>
    <w:p w14:paraId="54918B91" w14:textId="77777777" w:rsidR="00A131D3" w:rsidRPr="00874F10" w:rsidRDefault="00957314" w:rsidP="00A131D3">
      <w:pPr>
        <w:jc w:val="both"/>
        <w:rPr>
          <w:sz w:val="22"/>
          <w:szCs w:val="22"/>
          <w:lang w:val="sv-SE"/>
        </w:rPr>
      </w:pPr>
      <w:r w:rsidRPr="00957314">
        <w:rPr>
          <w:sz w:val="22"/>
          <w:szCs w:val="22"/>
          <w:lang w:val="sv-SE"/>
        </w:rPr>
        <w:t>Styrelsen har inrättat ett ersättningsutskott. I utskottets uppgifter ingår att bereda styrelsens beslut om förslag till riktlinjer för ersättning till ledande befattningshavare. Styrelsen ska upprätta förslag till nya riktlinjer åtminstone vart fjärde år och lägga fram förslaget för beslut vid årsstämman. Riktlinjerna ska gälla till dess att nya riktlinjer antagits av bolagsstämman. Ersättningsutskottet ska även följa och utvärdera program för rörliga ersättningar för bolagsledningen, tillämpningen av riktlinjer för ersättning till ledande befattningshavare samt gällande ersättningsstrukturer oc</w:t>
      </w:r>
      <w:r>
        <w:rPr>
          <w:sz w:val="22"/>
          <w:szCs w:val="22"/>
          <w:lang w:val="sv-SE"/>
        </w:rPr>
        <w:t xml:space="preserve">h ersättningsnivåer i bolaget. </w:t>
      </w:r>
      <w:r w:rsidRPr="00957314">
        <w:rPr>
          <w:sz w:val="22"/>
          <w:szCs w:val="22"/>
          <w:lang w:val="sv-SE"/>
        </w:rPr>
        <w:t>Ersättningsutskottets ledamöter är oberoende i förhållande ti</w:t>
      </w:r>
      <w:r>
        <w:rPr>
          <w:sz w:val="22"/>
          <w:szCs w:val="22"/>
          <w:lang w:val="sv-SE"/>
        </w:rPr>
        <w:t xml:space="preserve">ll bolaget och bolagsledningen. </w:t>
      </w:r>
      <w:r w:rsidRPr="00957314">
        <w:rPr>
          <w:sz w:val="22"/>
          <w:szCs w:val="22"/>
          <w:lang w:val="sv-SE"/>
        </w:rPr>
        <w:t xml:space="preserve">Vid styrelsens behandling av och beslut i ersättningsrelaterade frågor närvarar inte </w:t>
      </w:r>
      <w:r w:rsidR="00897185">
        <w:rPr>
          <w:sz w:val="22"/>
          <w:szCs w:val="22"/>
          <w:lang w:val="sv-SE"/>
        </w:rPr>
        <w:t>VD</w:t>
      </w:r>
      <w:r w:rsidRPr="00957314">
        <w:rPr>
          <w:sz w:val="22"/>
          <w:szCs w:val="22"/>
          <w:lang w:val="sv-SE"/>
        </w:rPr>
        <w:t xml:space="preserve"> eller andra personer i bolagsledningen, i den mån de berörs av frågorna</w:t>
      </w:r>
    </w:p>
    <w:p w14:paraId="6EA41F20" w14:textId="77777777" w:rsidR="00A131D3" w:rsidRPr="00874F10" w:rsidRDefault="00A131D3" w:rsidP="00A131D3">
      <w:pPr>
        <w:jc w:val="both"/>
        <w:rPr>
          <w:i/>
          <w:lang w:val="sv-SE"/>
        </w:rPr>
      </w:pPr>
    </w:p>
    <w:p w14:paraId="294B0C95" w14:textId="77777777" w:rsidR="00A131D3" w:rsidRPr="00874F10" w:rsidRDefault="00A131D3" w:rsidP="00A131D3">
      <w:pPr>
        <w:jc w:val="both"/>
        <w:rPr>
          <w:rFonts w:ascii="Verdana" w:hAnsi="Verdana" w:cs="Calibri"/>
          <w:b/>
          <w:i/>
          <w:sz w:val="18"/>
          <w:szCs w:val="18"/>
          <w:lang w:val="sv-SE"/>
        </w:rPr>
      </w:pPr>
      <w:r w:rsidRPr="00874F10">
        <w:rPr>
          <w:rFonts w:ascii="Verdana" w:hAnsi="Verdana" w:cs="Calibri"/>
          <w:b/>
          <w:i/>
          <w:sz w:val="18"/>
          <w:szCs w:val="18"/>
          <w:lang w:val="sv-SE"/>
        </w:rPr>
        <w:t>Frångående av riktlinjerna</w:t>
      </w:r>
    </w:p>
    <w:p w14:paraId="3F2E70A4" w14:textId="77777777" w:rsidR="00A131D3" w:rsidRPr="00874F10" w:rsidRDefault="00A131D3" w:rsidP="00A131D3">
      <w:pPr>
        <w:jc w:val="both"/>
        <w:rPr>
          <w:sz w:val="22"/>
          <w:szCs w:val="22"/>
          <w:lang w:val="sv-SE"/>
        </w:rPr>
      </w:pPr>
      <w:r w:rsidRPr="00874F10">
        <w:rPr>
          <w:sz w:val="22"/>
          <w:szCs w:val="22"/>
          <w:lang w:val="sv-SE"/>
        </w:rPr>
        <w:t xml:space="preserve">Styrelsen får besluta att tillfälligt frångå riktlinjerna helt eller delvis, om det i ett enskilt fall finns särskilda skäl för det och ett avsteg är nödvändigt för att tillgodose </w:t>
      </w:r>
      <w:r w:rsidR="00874F10" w:rsidRPr="00874F10">
        <w:rPr>
          <w:sz w:val="22"/>
          <w:szCs w:val="22"/>
          <w:lang w:val="sv-SE"/>
        </w:rPr>
        <w:t>Cantargia</w:t>
      </w:r>
      <w:r w:rsidRPr="00874F10">
        <w:rPr>
          <w:sz w:val="22"/>
          <w:szCs w:val="22"/>
          <w:lang w:val="sv-SE"/>
        </w:rPr>
        <w:t xml:space="preserve">s långsiktiga intressen, </w:t>
      </w:r>
      <w:r w:rsidRPr="00874F10">
        <w:rPr>
          <w:sz w:val="22"/>
          <w:szCs w:val="22"/>
          <w:lang w:val="sv-SE"/>
        </w:rPr>
        <w:lastRenderedPageBreak/>
        <w:t xml:space="preserve">inklusive dess hållbarhet, eller för att säkerställa </w:t>
      </w:r>
      <w:r w:rsidR="00874F10" w:rsidRPr="00874F10">
        <w:rPr>
          <w:sz w:val="22"/>
          <w:szCs w:val="22"/>
          <w:lang w:val="sv-SE"/>
        </w:rPr>
        <w:t>Cantargia</w:t>
      </w:r>
      <w:r w:rsidRPr="00874F10">
        <w:rPr>
          <w:sz w:val="22"/>
          <w:szCs w:val="22"/>
          <w:lang w:val="sv-SE"/>
        </w:rPr>
        <w:t>s ekonomiska bärkraft.</w:t>
      </w:r>
      <w:r w:rsidR="00957314">
        <w:rPr>
          <w:sz w:val="22"/>
          <w:szCs w:val="22"/>
          <w:lang w:val="sv-SE"/>
        </w:rPr>
        <w:t xml:space="preserve"> </w:t>
      </w:r>
      <w:r w:rsidR="00957314" w:rsidRPr="00957314">
        <w:rPr>
          <w:sz w:val="22"/>
          <w:szCs w:val="22"/>
          <w:lang w:val="sv-SE"/>
        </w:rPr>
        <w:t>Som angivits ovan ingår det i ersättningsutskottets uppgifter att bereda styrelsens beslut i ersättningsfrågor, vilket innefattar beslut om avsteg från riktlinjerna</w:t>
      </w:r>
      <w:r w:rsidR="00957314">
        <w:rPr>
          <w:sz w:val="22"/>
          <w:szCs w:val="22"/>
          <w:lang w:val="sv-SE"/>
        </w:rPr>
        <w:t>.</w:t>
      </w:r>
    </w:p>
    <w:p w14:paraId="73A42C7A" w14:textId="77777777" w:rsidR="00A131D3" w:rsidRPr="00874F10" w:rsidRDefault="00A131D3" w:rsidP="00A131D3">
      <w:pPr>
        <w:jc w:val="both"/>
        <w:rPr>
          <w:b/>
          <w:lang w:val="sv-SE"/>
        </w:rPr>
      </w:pPr>
    </w:p>
    <w:p w14:paraId="6A85C8FB" w14:textId="5942795E" w:rsidR="00A131D3" w:rsidRPr="00874F10" w:rsidRDefault="00A131D3" w:rsidP="00A131D3">
      <w:pPr>
        <w:jc w:val="both"/>
        <w:rPr>
          <w:sz w:val="22"/>
          <w:szCs w:val="22"/>
          <w:lang w:val="sv-SE"/>
        </w:rPr>
      </w:pPr>
    </w:p>
    <w:sectPr w:rsidR="00A131D3" w:rsidRPr="00874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E7"/>
    <w:rsid w:val="00026580"/>
    <w:rsid w:val="00110B27"/>
    <w:rsid w:val="001860F5"/>
    <w:rsid w:val="003A20BE"/>
    <w:rsid w:val="004601DD"/>
    <w:rsid w:val="004906D4"/>
    <w:rsid w:val="004F6E75"/>
    <w:rsid w:val="00554333"/>
    <w:rsid w:val="00586DAA"/>
    <w:rsid w:val="005B3DD6"/>
    <w:rsid w:val="005E2995"/>
    <w:rsid w:val="0073120F"/>
    <w:rsid w:val="007A496B"/>
    <w:rsid w:val="00840C72"/>
    <w:rsid w:val="00874F10"/>
    <w:rsid w:val="008839A7"/>
    <w:rsid w:val="00897185"/>
    <w:rsid w:val="008D4422"/>
    <w:rsid w:val="008E5749"/>
    <w:rsid w:val="00942D17"/>
    <w:rsid w:val="00957314"/>
    <w:rsid w:val="009A7443"/>
    <w:rsid w:val="00A131D3"/>
    <w:rsid w:val="00A56479"/>
    <w:rsid w:val="00BF6244"/>
    <w:rsid w:val="00C6519A"/>
    <w:rsid w:val="00CC44E7"/>
    <w:rsid w:val="00CD182A"/>
    <w:rsid w:val="00D43E0B"/>
    <w:rsid w:val="00DA5559"/>
    <w:rsid w:val="00E91253"/>
    <w:rsid w:val="00F12524"/>
    <w:rsid w:val="00F14B29"/>
    <w:rsid w:val="00F350C7"/>
    <w:rsid w:val="00FE7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C2FC"/>
  <w15:chartTrackingRefBased/>
  <w15:docId w15:val="{D2A5B6CF-9233-43E9-B597-93E1D19A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E7"/>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647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6479"/>
    <w:rPr>
      <w:rFonts w:ascii="Segoe UI" w:eastAsia="Times New Roman" w:hAnsi="Segoe UI" w:cs="Segoe UI"/>
      <w:sz w:val="18"/>
      <w:szCs w:val="18"/>
      <w:lang w:val="en-US"/>
    </w:rPr>
  </w:style>
  <w:style w:type="paragraph" w:customStyle="1" w:styleId="Default">
    <w:name w:val="Default"/>
    <w:rsid w:val="00A131D3"/>
    <w:pPr>
      <w:autoSpaceDE w:val="0"/>
      <w:autoSpaceDN w:val="0"/>
      <w:adjustRightInd w:val="0"/>
      <w:spacing w:after="0" w:line="240" w:lineRule="auto"/>
    </w:pPr>
    <w:rPr>
      <w:rFonts w:ascii="Arial" w:eastAsia="SimSun" w:hAnsi="Arial" w:cs="Arial"/>
      <w:color w:val="000000"/>
      <w:sz w:val="24"/>
      <w:szCs w:val="24"/>
      <w:lang w:eastAsia="sv-SE"/>
    </w:rPr>
  </w:style>
  <w:style w:type="character" w:styleId="Hyperlnk">
    <w:name w:val="Hyperlink"/>
    <w:basedOn w:val="Standardstycketeckensnitt"/>
    <w:uiPriority w:val="99"/>
    <w:unhideWhenUsed/>
    <w:rsid w:val="00874F10"/>
    <w:rPr>
      <w:color w:val="0563C1" w:themeColor="hyperlink"/>
      <w:u w:val="single"/>
    </w:rPr>
  </w:style>
  <w:style w:type="character" w:styleId="Olstomnmnande">
    <w:name w:val="Unresolved Mention"/>
    <w:basedOn w:val="Standardstycketeckensnitt"/>
    <w:uiPriority w:val="99"/>
    <w:semiHidden/>
    <w:unhideWhenUsed/>
    <w:rsid w:val="00874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EA05F46D654F49AF4574222D03C3CD" ma:contentTypeVersion="10" ma:contentTypeDescription="Skapa ett nytt dokument." ma:contentTypeScope="" ma:versionID="e37141809d2ddaae2f4e6c17fcb9bd88">
  <xsd:schema xmlns:xsd="http://www.w3.org/2001/XMLSchema" xmlns:xs="http://www.w3.org/2001/XMLSchema" xmlns:p="http://schemas.microsoft.com/office/2006/metadata/properties" xmlns:ns3="381b0cc4-65d0-447b-bb2b-d212614573ec" targetNamespace="http://schemas.microsoft.com/office/2006/metadata/properties" ma:root="true" ma:fieldsID="518192ccb7d6d8908d516781c7bb2785" ns3:_="">
    <xsd:import namespace="381b0cc4-65d0-447b-bb2b-d21261457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b0cc4-65d0-447b-bb2b-d212614573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FEFC4-AD35-4CC4-BDDD-BFFEA270E160}">
  <ds:schemaRefs>
    <ds:schemaRef ds:uri="http://schemas.microsoft.com/sharepoint/v3/contenttype/forms"/>
  </ds:schemaRefs>
</ds:datastoreItem>
</file>

<file path=customXml/itemProps2.xml><?xml version="1.0" encoding="utf-8"?>
<ds:datastoreItem xmlns:ds="http://schemas.openxmlformats.org/officeDocument/2006/customXml" ds:itemID="{41270DAA-976F-4622-BB71-1FEEF1857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b0cc4-65d0-447b-bb2b-d21261457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9831B-967F-4375-80B9-F9CEC0DF35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1241</Words>
  <Characters>6578</Characters>
  <Application>Microsoft Office Word</Application>
  <DocSecurity>0</DocSecurity>
  <Lines>54</Lines>
  <Paragraphs>15</Paragraphs>
  <ScaleCrop>false</ScaleCrop>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Jöndell</dc:creator>
  <cp:keywords/>
  <dc:description/>
  <cp:lastModifiedBy>Bengt Jöndell</cp:lastModifiedBy>
  <cp:revision>6</cp:revision>
  <dcterms:created xsi:type="dcterms:W3CDTF">2020-06-16T10:17:00Z</dcterms:created>
  <dcterms:modified xsi:type="dcterms:W3CDTF">2020-06-16T10:22:00Z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0x01010018EA05F46D654F49AF4574222D03C3CD</vt:lpwstr>
  </property>
</Properties>
</file>